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20" w:rsidRDefault="00817BB1" w:rsidP="00817BB1">
      <w:bookmarkStart w:id="0" w:name="_GoBack"/>
      <w:bookmarkEnd w:id="0"/>
      <w:r>
        <w:t xml:space="preserve">Centralne Biuro Antykorupcyjne zatrzymało 5 osób podejrzanych o wytwarzanie i </w:t>
      </w:r>
      <w:r>
        <w:t xml:space="preserve">używanie fikcyjnych faktur VAT. </w:t>
      </w:r>
      <w:r>
        <w:t>Zarzuty takie usłyszało 4 przedsiębiorców z Warszawy, Gd</w:t>
      </w:r>
      <w:r>
        <w:t xml:space="preserve">ańska, Białegostoku i Sieradza. </w:t>
      </w:r>
      <w:r>
        <w:t>Zarzuty usłyszała również osoba prowadząc</w:t>
      </w:r>
      <w:r>
        <w:t xml:space="preserve">a w Warszawie biuro rachunkowe. </w:t>
      </w:r>
      <w:r>
        <w:t>Materiał dowodowy wskazuje, że zatrzymani wytwarzali i</w:t>
      </w:r>
      <w:r>
        <w:t xml:space="preserve"> kupowali fikcyjne faktury VAT. </w:t>
      </w:r>
      <w:r>
        <w:t>Mowa o 3 tys. dokumentów, kt</w:t>
      </w:r>
      <w:r>
        <w:t xml:space="preserve">óre opiewały na sumę 37 mln zł. </w:t>
      </w:r>
      <w:r>
        <w:t>Fikcyjne faktury były wystawiane na usługi z zakresu m.in. analityki finansowej, do</w:t>
      </w:r>
      <w:r>
        <w:t xml:space="preserve">radztwa, szkoleń i konsultingu. </w:t>
      </w:r>
      <w:r>
        <w:t>Troje z z</w:t>
      </w:r>
      <w:r>
        <w:t xml:space="preserve">atrzymanych trafiło do aresztu. </w:t>
      </w:r>
      <w:r>
        <w:t>Sprawę prowadzi stołeczna delegatura CBA wraz z prokuraturą okręgową w Warszawie.</w:t>
      </w:r>
    </w:p>
    <w:sectPr w:rsidR="0055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B1"/>
    <w:rsid w:val="00553E20"/>
    <w:rsid w:val="0081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738"/>
  <w15:chartTrackingRefBased/>
  <w15:docId w15:val="{785086A4-032E-4AEF-A111-751AA940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2025-03-17T13:12:00Z</dcterms:created>
  <dcterms:modified xsi:type="dcterms:W3CDTF">2025-03-17T13:18:00Z</dcterms:modified>
</cp:coreProperties>
</file>